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202E097F"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440D6E">
        <w:rPr>
          <w:rFonts w:ascii="Arial" w:eastAsia="Times New Roman" w:hAnsi="Arial" w:cs="Arial"/>
          <w:b/>
          <w:bCs/>
          <w:color w:val="333333"/>
          <w:sz w:val="24"/>
          <w:szCs w:val="24"/>
        </w:rPr>
        <w:t>February</w:t>
      </w:r>
      <w:r w:rsidR="001D1432">
        <w:rPr>
          <w:rFonts w:ascii="Arial" w:eastAsia="Times New Roman" w:hAnsi="Arial" w:cs="Arial"/>
          <w:b/>
          <w:bCs/>
          <w:color w:val="333333"/>
          <w:sz w:val="24"/>
          <w:szCs w:val="24"/>
        </w:rPr>
        <w:t xml:space="preserve"> </w:t>
      </w:r>
      <w:r w:rsidR="00440D6E">
        <w:rPr>
          <w:rFonts w:ascii="Arial" w:eastAsia="Times New Roman" w:hAnsi="Arial" w:cs="Arial"/>
          <w:b/>
          <w:bCs/>
          <w:color w:val="333333"/>
          <w:sz w:val="24"/>
          <w:szCs w:val="24"/>
        </w:rPr>
        <w:t>15</w:t>
      </w:r>
      <w:r w:rsidR="001D1432">
        <w:rPr>
          <w:rFonts w:ascii="Arial" w:eastAsia="Times New Roman" w:hAnsi="Arial" w:cs="Arial"/>
          <w:b/>
          <w:bCs/>
          <w:color w:val="333333"/>
          <w:sz w:val="24"/>
          <w:szCs w:val="24"/>
        </w:rPr>
        <w:t>, 202</w:t>
      </w:r>
      <w:r w:rsidR="00440D6E">
        <w:rPr>
          <w:rFonts w:ascii="Arial" w:eastAsia="Times New Roman" w:hAnsi="Arial" w:cs="Arial"/>
          <w:b/>
          <w:bCs/>
          <w:color w:val="333333"/>
          <w:sz w:val="24"/>
          <w:szCs w:val="24"/>
        </w:rPr>
        <w:t>3</w:t>
      </w:r>
    </w:p>
    <w:p w14:paraId="002F2095" w14:textId="5ED44C5B" w:rsidR="00013A12" w:rsidRDefault="0032203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44051FDD" w14:textId="77777777" w:rsidR="00EE15F4" w:rsidRDefault="00EE15F4" w:rsidP="00EE15F4">
            <w:pPr>
              <w:pStyle w:val="ListParagraph"/>
              <w:numPr>
                <w:ilvl w:val="0"/>
                <w:numId w:val="1"/>
              </w:numPr>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12164171" w:rsidR="00C83A2A" w:rsidRDefault="0093382D" w:rsidP="00C83A2A">
      <w:pPr>
        <w:pStyle w:val="ListParagraph"/>
        <w:ind w:left="1080"/>
      </w:pPr>
      <w:r>
        <w:rPr>
          <w:b/>
          <w:bCs/>
        </w:rPr>
        <w:lastRenderedPageBreak/>
        <w:t>10</w:t>
      </w:r>
      <w:r w:rsidR="00C83A2A">
        <w:rPr>
          <w:b/>
          <w:bCs/>
        </w:rPr>
        <w:t>:</w:t>
      </w:r>
      <w:r>
        <w:rPr>
          <w:b/>
          <w:bCs/>
        </w:rPr>
        <w:t>15</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26213383" w14:textId="65087A65" w:rsidR="00174624" w:rsidRDefault="00C83A2A" w:rsidP="007E220E">
      <w:pPr>
        <w:pStyle w:val="ListParagraph"/>
        <w:numPr>
          <w:ilvl w:val="0"/>
          <w:numId w:val="2"/>
        </w:numPr>
      </w:pPr>
      <w:r>
        <w:rPr>
          <w:b/>
          <w:bCs/>
        </w:rPr>
        <w:t xml:space="preserve">Executive Committee </w:t>
      </w:r>
      <w:r w:rsidR="007E220E">
        <w:rPr>
          <w:b/>
          <w:bCs/>
        </w:rPr>
        <w:t>Resolution</w:t>
      </w:r>
    </w:p>
    <w:p w14:paraId="114C51E8" w14:textId="4DB2E4C7" w:rsidR="007E220E" w:rsidRDefault="007E220E" w:rsidP="007E220E">
      <w:pPr>
        <w:pStyle w:val="ListParagraph"/>
        <w:ind w:left="1080"/>
      </w:pPr>
      <w: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r w:rsidR="00874CA6">
        <w:t>.</w:t>
      </w:r>
    </w:p>
    <w:p w14:paraId="4560249A" w14:textId="77777777" w:rsidR="00174624" w:rsidRDefault="00174624" w:rsidP="00174624">
      <w:pPr>
        <w:pStyle w:val="ListParagraph"/>
        <w:ind w:left="1440"/>
      </w:pPr>
    </w:p>
    <w:p w14:paraId="34746511" w14:textId="6322792C" w:rsidR="005F248C" w:rsidRDefault="00C83A2A" w:rsidP="00174624">
      <w:pPr>
        <w:pStyle w:val="ListParagraph"/>
        <w:ind w:left="1080"/>
      </w:pPr>
      <w:r w:rsidRPr="00174624">
        <w:rPr>
          <w:b/>
          <w:bCs/>
        </w:rPr>
        <w:t xml:space="preserve">Recommended Action: </w:t>
      </w:r>
      <w:r w:rsidRPr="00435837">
        <w:t>Approve the</w:t>
      </w:r>
      <w:r w:rsidR="00874CA6">
        <w:t xml:space="preserve"> Resolution authorizing remote teleconference meetings for the period of </w:t>
      </w:r>
      <w:r w:rsidR="00AC5B42">
        <w:t>February 15</w:t>
      </w:r>
      <w:r w:rsidR="00874CA6">
        <w:t>, 202</w:t>
      </w:r>
      <w:r w:rsidR="00AC5B42">
        <w:t>3</w:t>
      </w:r>
      <w:r w:rsidR="00874CA6">
        <w:t xml:space="preserve">, to </w:t>
      </w:r>
      <w:r w:rsidR="00AC5B42">
        <w:t>February</w:t>
      </w:r>
      <w:r w:rsidR="00874CA6">
        <w:t xml:space="preserve"> </w:t>
      </w:r>
      <w:r w:rsidR="008D36C9">
        <w:t>2</w:t>
      </w:r>
      <w:r w:rsidR="00AC5B42">
        <w:t>8</w:t>
      </w:r>
      <w:r w:rsidR="00874CA6">
        <w:t xml:space="preserve">, </w:t>
      </w:r>
      <w:r w:rsidR="00D703AA">
        <w:t>202</w:t>
      </w:r>
      <w:r w:rsidR="008D36C9">
        <w:t>3</w:t>
      </w:r>
      <w:r w:rsidR="00D703AA">
        <w:t>,</w:t>
      </w:r>
      <w:r w:rsidR="00874CA6">
        <w:t xml:space="preserve"> pursuant to AB 361.</w:t>
      </w:r>
    </w:p>
    <w:p w14:paraId="3C8F7C41" w14:textId="679EA4CD" w:rsidR="00365B83" w:rsidRDefault="00365B83" w:rsidP="00174624">
      <w:pPr>
        <w:pStyle w:val="ListParagraph"/>
        <w:ind w:left="1080"/>
      </w:pPr>
    </w:p>
    <w:p w14:paraId="488EF8FC" w14:textId="77777777" w:rsidR="00365B83" w:rsidRPr="00A25912" w:rsidRDefault="00365B83" w:rsidP="00365B83">
      <w:pPr>
        <w:pStyle w:val="ListParagraph"/>
        <w:numPr>
          <w:ilvl w:val="0"/>
          <w:numId w:val="2"/>
        </w:numPr>
      </w:pPr>
      <w:r>
        <w:rPr>
          <w:b/>
          <w:bCs/>
        </w:rPr>
        <w:t>Executive Committee Minutes</w:t>
      </w:r>
    </w:p>
    <w:p w14:paraId="2FF2B084" w14:textId="651BDE80" w:rsidR="00365B83" w:rsidRDefault="00365B83" w:rsidP="00365B83">
      <w:pPr>
        <w:pStyle w:val="ListParagraph"/>
        <w:numPr>
          <w:ilvl w:val="0"/>
          <w:numId w:val="3"/>
        </w:numPr>
      </w:pPr>
      <w:r w:rsidRPr="00A25912">
        <w:t>Approval of the minutes of the</w:t>
      </w:r>
      <w:r>
        <w:t xml:space="preserve"> regular</w:t>
      </w:r>
      <w:r w:rsidRPr="00A25912">
        <w:t xml:space="preserve"> meeting held </w:t>
      </w:r>
      <w:r>
        <w:t>December 2</w:t>
      </w:r>
      <w:r>
        <w:t>1, 2022.</w:t>
      </w:r>
    </w:p>
    <w:p w14:paraId="7933CDE1" w14:textId="470C1A49" w:rsidR="00365B83" w:rsidRDefault="00365B83" w:rsidP="00365B83">
      <w:pPr>
        <w:pStyle w:val="ListParagraph"/>
        <w:numPr>
          <w:ilvl w:val="0"/>
          <w:numId w:val="3"/>
        </w:numPr>
      </w:pPr>
      <w:r>
        <w:t>Approval of the minutes of the special meeting held November 17, 2022.</w:t>
      </w:r>
    </w:p>
    <w:p w14:paraId="0C6A910C" w14:textId="77777777" w:rsidR="00365B83" w:rsidRDefault="00365B83" w:rsidP="00365B83">
      <w:pPr>
        <w:pStyle w:val="ListParagraph"/>
        <w:ind w:left="1440"/>
      </w:pPr>
    </w:p>
    <w:p w14:paraId="149CDCCC" w14:textId="1A8DCCCB" w:rsidR="0093382D" w:rsidRDefault="00365B83" w:rsidP="00365B83">
      <w:pPr>
        <w:pStyle w:val="ListParagraph"/>
        <w:ind w:left="1080"/>
      </w:pPr>
      <w:r w:rsidRPr="00174624">
        <w:rPr>
          <w:b/>
          <w:bCs/>
        </w:rPr>
        <w:t xml:space="preserve">Recommended Action: </w:t>
      </w:r>
      <w:r w:rsidRPr="00435837">
        <w:t xml:space="preserve">Approve the minutes of the </w:t>
      </w:r>
      <w:r>
        <w:t>regular</w:t>
      </w:r>
      <w:r w:rsidRPr="00435837">
        <w:t xml:space="preserve"> meeting held </w:t>
      </w:r>
      <w:r>
        <w:t>December 2</w:t>
      </w:r>
      <w:r>
        <w:t>1, 2022</w:t>
      </w:r>
      <w:r>
        <w:t xml:space="preserve"> and the special meeting held November 17, 2022.</w:t>
      </w:r>
    </w:p>
    <w:p w14:paraId="418C108F" w14:textId="35640415" w:rsidR="00065884" w:rsidRDefault="00065884" w:rsidP="00174624">
      <w:pPr>
        <w:pStyle w:val="ListParagraph"/>
        <w:ind w:left="1080"/>
      </w:pPr>
    </w:p>
    <w:p w14:paraId="4E92E2D4" w14:textId="631A4C96" w:rsidR="008D36C9" w:rsidRDefault="008D36C9" w:rsidP="008D36C9">
      <w:pPr>
        <w:pStyle w:val="ListParagraph"/>
        <w:numPr>
          <w:ilvl w:val="0"/>
          <w:numId w:val="2"/>
        </w:numPr>
        <w:rPr>
          <w:b/>
          <w:bCs/>
        </w:rPr>
      </w:pPr>
      <w:r w:rsidRPr="00D74A6D">
        <w:rPr>
          <w:b/>
          <w:bCs/>
        </w:rPr>
        <w:t xml:space="preserve">Appointment of Representative from </w:t>
      </w:r>
      <w:r>
        <w:rPr>
          <w:b/>
          <w:bCs/>
        </w:rPr>
        <w:t>District Attorney’s</w:t>
      </w:r>
      <w:r w:rsidRPr="00D74A6D">
        <w:rPr>
          <w:b/>
          <w:bCs/>
        </w:rPr>
        <w:t xml:space="preserve"> Office to the Executive Committee</w:t>
      </w:r>
    </w:p>
    <w:p w14:paraId="7414C7D6" w14:textId="5F69EF46" w:rsidR="008D36C9" w:rsidRPr="00D74A6D" w:rsidRDefault="008D36C9" w:rsidP="008D36C9">
      <w:pPr>
        <w:pStyle w:val="ListParagraph"/>
        <w:ind w:left="1080"/>
      </w:pPr>
      <w:r>
        <w:t>Recommend appointing David Anderson as the representative from the District Attorney’s Office to the Executive Committee. Authorize resolution to be sent to the Board of Supervisors for approval.</w:t>
      </w:r>
    </w:p>
    <w:p w14:paraId="5C43615D" w14:textId="77777777" w:rsidR="008D36C9" w:rsidRPr="0010406E" w:rsidRDefault="008D36C9" w:rsidP="008D36C9">
      <w:pPr>
        <w:pStyle w:val="ListParagraph"/>
        <w:ind w:left="1080"/>
      </w:pPr>
    </w:p>
    <w:p w14:paraId="7D8DFB32" w14:textId="60FE08E9" w:rsidR="002F1D73" w:rsidRDefault="008D36C9" w:rsidP="008D36C9">
      <w:pPr>
        <w:pStyle w:val="ListParagraph"/>
        <w:ind w:left="1080"/>
      </w:pPr>
      <w:r w:rsidRPr="001B4A19">
        <w:rPr>
          <w:b/>
          <w:bCs/>
        </w:rPr>
        <w:t>Recommended Action:</w:t>
      </w:r>
      <w:r>
        <w:rPr>
          <w:b/>
          <w:bCs/>
        </w:rPr>
        <w:t xml:space="preserve"> </w:t>
      </w:r>
      <w:r>
        <w:t>Approve recommendation and authorize resolution to the Board of Supervisors.</w:t>
      </w:r>
    </w:p>
    <w:p w14:paraId="0CA8CF07" w14:textId="431B071A" w:rsidR="00AC5B42" w:rsidRDefault="00AC5B42" w:rsidP="008D36C9">
      <w:pPr>
        <w:pStyle w:val="ListParagraph"/>
        <w:ind w:left="1080"/>
      </w:pPr>
    </w:p>
    <w:p w14:paraId="3D2732AD" w14:textId="77777777" w:rsidR="00365B83" w:rsidRDefault="00365B83" w:rsidP="00365B83">
      <w:pPr>
        <w:pStyle w:val="ListParagraph"/>
        <w:numPr>
          <w:ilvl w:val="0"/>
          <w:numId w:val="2"/>
        </w:numPr>
        <w:rPr>
          <w:b/>
          <w:bCs/>
        </w:rPr>
      </w:pPr>
      <w:r>
        <w:rPr>
          <w:b/>
          <w:bCs/>
        </w:rPr>
        <w:t xml:space="preserve">Transitional Housing </w:t>
      </w:r>
    </w:p>
    <w:p w14:paraId="23CFD8DD" w14:textId="37F4F39A" w:rsidR="00365B83" w:rsidRDefault="00365B83" w:rsidP="00365B83">
      <w:pPr>
        <w:pStyle w:val="ListParagraph"/>
        <w:ind w:left="1080"/>
      </w:pPr>
      <w:r>
        <w:t xml:space="preserve">Update </w:t>
      </w:r>
      <w:r>
        <w:t xml:space="preserve">regarding the goal of </w:t>
      </w:r>
      <w:r w:rsidR="002F2650">
        <w:t>building one of the approved Mono County prescriptive design accessory dwelling units on the site of the Bridgeport</w:t>
      </w:r>
      <w:r w:rsidR="005B2041">
        <w:t xml:space="preserve"> Probation</w:t>
      </w:r>
      <w:r w:rsidR="00634D1D">
        <w:t xml:space="preserve"> office </w:t>
      </w:r>
      <w:r>
        <w:t>for transitional housing.</w:t>
      </w:r>
    </w:p>
    <w:p w14:paraId="77BF4ABB" w14:textId="77777777" w:rsidR="00365B83" w:rsidRDefault="00365B83" w:rsidP="00365B83">
      <w:pPr>
        <w:pStyle w:val="ListParagraph"/>
        <w:ind w:left="1080"/>
      </w:pPr>
    </w:p>
    <w:p w14:paraId="00A2EDD6" w14:textId="2E46D8EC" w:rsidR="00365B83" w:rsidRDefault="00365B83" w:rsidP="00365B83">
      <w:pPr>
        <w:pStyle w:val="ListParagraph"/>
        <w:ind w:left="1080"/>
      </w:pPr>
      <w:r w:rsidRPr="001B4A19">
        <w:rPr>
          <w:b/>
          <w:bCs/>
        </w:rPr>
        <w:t>Recommended Action:</w:t>
      </w:r>
      <w:r>
        <w:rPr>
          <w:b/>
          <w:bCs/>
        </w:rPr>
        <w:t xml:space="preserve"> </w:t>
      </w:r>
      <w:r>
        <w:t>Discussion and provide direction.</w:t>
      </w:r>
    </w:p>
    <w:p w14:paraId="6EFCAEE6" w14:textId="6ECE8D3C" w:rsidR="001F348C" w:rsidRDefault="001F348C" w:rsidP="00365B83">
      <w:pPr>
        <w:pStyle w:val="ListParagraph"/>
        <w:ind w:left="1080"/>
      </w:pPr>
    </w:p>
    <w:p w14:paraId="050D355B" w14:textId="3CE1902D" w:rsidR="001F348C" w:rsidRDefault="001F348C" w:rsidP="001F348C">
      <w:pPr>
        <w:pStyle w:val="ListParagraph"/>
        <w:numPr>
          <w:ilvl w:val="0"/>
          <w:numId w:val="2"/>
        </w:numPr>
        <w:rPr>
          <w:b/>
          <w:bCs/>
        </w:rPr>
      </w:pPr>
      <w:r w:rsidRPr="001F348C">
        <w:rPr>
          <w:b/>
          <w:bCs/>
        </w:rPr>
        <w:t>Mental Health Diversion</w:t>
      </w:r>
    </w:p>
    <w:p w14:paraId="7EEC35D3" w14:textId="0D962119" w:rsidR="00AC5B42" w:rsidRDefault="001F348C" w:rsidP="004B2210">
      <w:pPr>
        <w:pStyle w:val="ListParagraph"/>
        <w:ind w:left="1080"/>
      </w:pPr>
      <w:r>
        <w:t xml:space="preserve">Discussion regarding </w:t>
      </w:r>
      <w:r w:rsidR="0079419D">
        <w:t xml:space="preserve">the CCP’s </w:t>
      </w:r>
      <w:r w:rsidR="004B2210">
        <w:t xml:space="preserve">possible </w:t>
      </w:r>
      <w:r w:rsidR="0079419D">
        <w:t>involvement in the development of a Mental Health Diversion program, potential funding for Psychological Evaluations and other</w:t>
      </w:r>
      <w:r w:rsidR="004B2210">
        <w:t xml:space="preserve"> needs associated with a Mental Health Diversion program.</w:t>
      </w:r>
    </w:p>
    <w:p w14:paraId="00BD78B4" w14:textId="77777777" w:rsidR="004B2210" w:rsidRDefault="004B2210" w:rsidP="004B2210">
      <w:pPr>
        <w:pStyle w:val="ListParagraph"/>
        <w:ind w:left="1080"/>
      </w:pPr>
      <w:r w:rsidRPr="001B4A19">
        <w:rPr>
          <w:b/>
          <w:bCs/>
        </w:rPr>
        <w:lastRenderedPageBreak/>
        <w:t>Recommended Action:</w:t>
      </w:r>
      <w:r>
        <w:rPr>
          <w:b/>
          <w:bCs/>
        </w:rPr>
        <w:t xml:space="preserve"> </w:t>
      </w:r>
      <w:r>
        <w:t>Discussion and provide direction.</w:t>
      </w:r>
    </w:p>
    <w:p w14:paraId="53806C09" w14:textId="77777777" w:rsidR="004B2210" w:rsidRDefault="004B2210" w:rsidP="004B2210">
      <w:pPr>
        <w:pStyle w:val="ListParagraph"/>
        <w:ind w:left="1080"/>
      </w:pP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753774">
    <w:abstractNumId w:val="2"/>
  </w:num>
  <w:num w:numId="2" w16cid:durableId="517963619">
    <w:abstractNumId w:val="0"/>
  </w:num>
  <w:num w:numId="3" w16cid:durableId="13939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13A12"/>
    <w:rsid w:val="00057296"/>
    <w:rsid w:val="00064E94"/>
    <w:rsid w:val="00065884"/>
    <w:rsid w:val="00077CED"/>
    <w:rsid w:val="000A5791"/>
    <w:rsid w:val="000B274E"/>
    <w:rsid w:val="0010406E"/>
    <w:rsid w:val="00146B8A"/>
    <w:rsid w:val="00174624"/>
    <w:rsid w:val="001C0B3C"/>
    <w:rsid w:val="001C7BDD"/>
    <w:rsid w:val="001D1432"/>
    <w:rsid w:val="001F348C"/>
    <w:rsid w:val="002950E2"/>
    <w:rsid w:val="002C6EDD"/>
    <w:rsid w:val="002C719F"/>
    <w:rsid w:val="002F1D73"/>
    <w:rsid w:val="002F2650"/>
    <w:rsid w:val="00322032"/>
    <w:rsid w:val="00365B83"/>
    <w:rsid w:val="0037360F"/>
    <w:rsid w:val="00391EB0"/>
    <w:rsid w:val="00396384"/>
    <w:rsid w:val="003A15D0"/>
    <w:rsid w:val="003A28EB"/>
    <w:rsid w:val="003E32B0"/>
    <w:rsid w:val="0040421B"/>
    <w:rsid w:val="004246BF"/>
    <w:rsid w:val="00440D6E"/>
    <w:rsid w:val="004B2210"/>
    <w:rsid w:val="004C07F7"/>
    <w:rsid w:val="004E2C4B"/>
    <w:rsid w:val="00510B3E"/>
    <w:rsid w:val="00576106"/>
    <w:rsid w:val="00586CF0"/>
    <w:rsid w:val="005A656C"/>
    <w:rsid w:val="005B2041"/>
    <w:rsid w:val="005F248C"/>
    <w:rsid w:val="00634D1D"/>
    <w:rsid w:val="00665446"/>
    <w:rsid w:val="00683898"/>
    <w:rsid w:val="006A1D28"/>
    <w:rsid w:val="006C5A07"/>
    <w:rsid w:val="00720D18"/>
    <w:rsid w:val="0079419D"/>
    <w:rsid w:val="007B3FCF"/>
    <w:rsid w:val="007C7547"/>
    <w:rsid w:val="007D5AA2"/>
    <w:rsid w:val="007E220E"/>
    <w:rsid w:val="007E56AC"/>
    <w:rsid w:val="007F086B"/>
    <w:rsid w:val="00810386"/>
    <w:rsid w:val="008559F5"/>
    <w:rsid w:val="0086622A"/>
    <w:rsid w:val="0086638D"/>
    <w:rsid w:val="00874CA6"/>
    <w:rsid w:val="00891566"/>
    <w:rsid w:val="008B4A1D"/>
    <w:rsid w:val="008B6CFA"/>
    <w:rsid w:val="008D36C9"/>
    <w:rsid w:val="008E45DF"/>
    <w:rsid w:val="00901B5C"/>
    <w:rsid w:val="0093382D"/>
    <w:rsid w:val="00974806"/>
    <w:rsid w:val="00987504"/>
    <w:rsid w:val="00992974"/>
    <w:rsid w:val="00A2016F"/>
    <w:rsid w:val="00A86261"/>
    <w:rsid w:val="00A92003"/>
    <w:rsid w:val="00AC5B42"/>
    <w:rsid w:val="00B011D6"/>
    <w:rsid w:val="00B260CF"/>
    <w:rsid w:val="00B55E11"/>
    <w:rsid w:val="00B71626"/>
    <w:rsid w:val="00BF1AE4"/>
    <w:rsid w:val="00C07363"/>
    <w:rsid w:val="00C83A2A"/>
    <w:rsid w:val="00C91D39"/>
    <w:rsid w:val="00CA05A7"/>
    <w:rsid w:val="00CB15C9"/>
    <w:rsid w:val="00CE217A"/>
    <w:rsid w:val="00CF489B"/>
    <w:rsid w:val="00D03357"/>
    <w:rsid w:val="00D27BAA"/>
    <w:rsid w:val="00D43E42"/>
    <w:rsid w:val="00D703AA"/>
    <w:rsid w:val="00D74A6D"/>
    <w:rsid w:val="00D8268D"/>
    <w:rsid w:val="00D92B04"/>
    <w:rsid w:val="00DB5E32"/>
    <w:rsid w:val="00DC4DD2"/>
    <w:rsid w:val="00DD1E03"/>
    <w:rsid w:val="00E02852"/>
    <w:rsid w:val="00E22A44"/>
    <w:rsid w:val="00E2338F"/>
    <w:rsid w:val="00E328AC"/>
    <w:rsid w:val="00E90A86"/>
    <w:rsid w:val="00EE15F4"/>
    <w:rsid w:val="00F5601B"/>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5</cp:revision>
  <cp:lastPrinted>2022-08-24T15:16:00Z</cp:lastPrinted>
  <dcterms:created xsi:type="dcterms:W3CDTF">2023-02-08T22:49:00Z</dcterms:created>
  <dcterms:modified xsi:type="dcterms:W3CDTF">2023-02-09T23:23:00Z</dcterms:modified>
</cp:coreProperties>
</file>