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072A85C3"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576106">
        <w:rPr>
          <w:rFonts w:ascii="Arial" w:eastAsia="Times New Roman" w:hAnsi="Arial" w:cs="Arial"/>
          <w:b/>
          <w:bCs/>
          <w:color w:val="333333"/>
          <w:sz w:val="24"/>
          <w:szCs w:val="24"/>
        </w:rPr>
        <w:t>Special</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7B3FCF">
        <w:rPr>
          <w:rFonts w:ascii="Arial" w:eastAsia="Times New Roman" w:hAnsi="Arial" w:cs="Arial"/>
          <w:b/>
          <w:bCs/>
          <w:color w:val="333333"/>
          <w:sz w:val="24"/>
          <w:szCs w:val="24"/>
        </w:rPr>
        <w:t>Nov</w:t>
      </w:r>
      <w:r w:rsidR="00576106">
        <w:rPr>
          <w:rFonts w:ascii="Arial" w:eastAsia="Times New Roman" w:hAnsi="Arial" w:cs="Arial"/>
          <w:b/>
          <w:bCs/>
          <w:color w:val="333333"/>
          <w:sz w:val="24"/>
          <w:szCs w:val="24"/>
        </w:rPr>
        <w:t>ember</w:t>
      </w:r>
      <w:r w:rsidR="001C7BDD">
        <w:rPr>
          <w:rFonts w:ascii="Arial" w:eastAsia="Times New Roman" w:hAnsi="Arial" w:cs="Arial"/>
          <w:b/>
          <w:bCs/>
          <w:color w:val="333333"/>
          <w:sz w:val="24"/>
          <w:szCs w:val="24"/>
        </w:rPr>
        <w:t xml:space="preserve"> </w:t>
      </w:r>
      <w:r w:rsidR="007B3FCF">
        <w:rPr>
          <w:rFonts w:ascii="Arial" w:eastAsia="Times New Roman" w:hAnsi="Arial" w:cs="Arial"/>
          <w:b/>
          <w:bCs/>
          <w:color w:val="333333"/>
          <w:sz w:val="24"/>
          <w:szCs w:val="24"/>
        </w:rPr>
        <w:t>24</w:t>
      </w:r>
      <w:r>
        <w:rPr>
          <w:rFonts w:ascii="Arial" w:eastAsia="Times New Roman" w:hAnsi="Arial" w:cs="Arial"/>
          <w:b/>
          <w:bCs/>
          <w:color w:val="333333"/>
          <w:sz w:val="24"/>
          <w:szCs w:val="24"/>
        </w:rPr>
        <w:t>, 2021</w:t>
      </w:r>
    </w:p>
    <w:p w14:paraId="002F2095" w14:textId="46B0C08D" w:rsidR="00013A12" w:rsidRDefault="007B3FCF"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3</w:t>
      </w:r>
      <w:r w:rsidR="00576106">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1</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4051FDD" w14:textId="77777777" w:rsid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spacing w:after="0" w:line="240" w:lineRule="auto"/>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6FADFCA9" w:rsidR="00C83A2A" w:rsidRDefault="007E56AC" w:rsidP="00C83A2A">
      <w:pPr>
        <w:pStyle w:val="ListParagraph"/>
        <w:ind w:left="1080"/>
      </w:pPr>
      <w:r>
        <w:rPr>
          <w:b/>
          <w:bCs/>
        </w:rPr>
        <w:lastRenderedPageBreak/>
        <w:t>10</w:t>
      </w:r>
      <w:r w:rsidR="00C83A2A">
        <w:rPr>
          <w:b/>
          <w:bCs/>
        </w:rPr>
        <w:t>:</w:t>
      </w:r>
      <w:r>
        <w:rPr>
          <w:b/>
          <w:bCs/>
        </w:rPr>
        <w:t>3</w:t>
      </w:r>
      <w:r w:rsidR="00576106">
        <w:rPr>
          <w:b/>
          <w:bCs/>
        </w:rPr>
        <w:t>0</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26213383" w14:textId="65087A65" w:rsidR="00174624" w:rsidRDefault="00C83A2A" w:rsidP="007E220E">
      <w:pPr>
        <w:pStyle w:val="ListParagraph"/>
        <w:numPr>
          <w:ilvl w:val="0"/>
          <w:numId w:val="2"/>
        </w:numPr>
      </w:pPr>
      <w:r>
        <w:rPr>
          <w:b/>
          <w:bCs/>
        </w:rPr>
        <w:t xml:space="preserve">Executive Committee </w:t>
      </w:r>
      <w:r w:rsidR="007E220E">
        <w:rPr>
          <w:b/>
          <w:bCs/>
        </w:rPr>
        <w:t>Resolution</w:t>
      </w:r>
    </w:p>
    <w:p w14:paraId="114C51E8" w14:textId="4DB2E4C7" w:rsidR="007E220E" w:rsidRDefault="007E220E" w:rsidP="007E220E">
      <w:pPr>
        <w:pStyle w:val="ListParagraph"/>
        <w:ind w:left="1080"/>
      </w:pPr>
      <w: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r w:rsidR="00874CA6">
        <w:t>.</w:t>
      </w:r>
    </w:p>
    <w:p w14:paraId="4560249A" w14:textId="77777777" w:rsidR="00174624" w:rsidRDefault="00174624" w:rsidP="00174624">
      <w:pPr>
        <w:pStyle w:val="ListParagraph"/>
        <w:ind w:left="1440"/>
      </w:pPr>
    </w:p>
    <w:p w14:paraId="34746511" w14:textId="5E83FF70" w:rsidR="005F248C" w:rsidRDefault="00C83A2A" w:rsidP="00174624">
      <w:pPr>
        <w:pStyle w:val="ListParagraph"/>
        <w:ind w:left="1080"/>
      </w:pPr>
      <w:r w:rsidRPr="00174624">
        <w:rPr>
          <w:b/>
          <w:bCs/>
        </w:rPr>
        <w:t xml:space="preserve">Recommended Action: </w:t>
      </w:r>
      <w:r w:rsidRPr="00435837">
        <w:t>Approve the</w:t>
      </w:r>
      <w:r w:rsidR="00874CA6">
        <w:t xml:space="preserve"> Resolution authorizing remote teleconference meetings for the period of November 24, 2021, to December 24, </w:t>
      </w:r>
      <w:proofErr w:type="gramStart"/>
      <w:r w:rsidR="00874CA6">
        <w:t>2021</w:t>
      </w:r>
      <w:proofErr w:type="gramEnd"/>
      <w:r w:rsidR="00874CA6">
        <w:t xml:space="preserve"> pursuant to AB 361.</w:t>
      </w:r>
    </w:p>
    <w:p w14:paraId="52929F7C" w14:textId="77777777" w:rsidR="00174624" w:rsidRDefault="00174624" w:rsidP="00174624">
      <w:pPr>
        <w:pStyle w:val="ListParagraph"/>
        <w:ind w:left="1080"/>
      </w:pPr>
    </w:p>
    <w:p w14:paraId="0ECA1BE5" w14:textId="0B76C0B4" w:rsidR="006A1D28" w:rsidRPr="00435837" w:rsidRDefault="00874CA6" w:rsidP="006A1D28">
      <w:pPr>
        <w:pStyle w:val="ListParagraph"/>
        <w:numPr>
          <w:ilvl w:val="0"/>
          <w:numId w:val="2"/>
        </w:numPr>
      </w:pPr>
      <w:r>
        <w:rPr>
          <w:b/>
          <w:bCs/>
        </w:rPr>
        <w:t>Review and Approve Draft Annual Report</w:t>
      </w:r>
      <w:r w:rsidR="008B4A1D">
        <w:rPr>
          <w:b/>
          <w:bCs/>
        </w:rPr>
        <w:t xml:space="preserve"> and Annual Survey Parts A &amp; B</w:t>
      </w:r>
    </w:p>
    <w:p w14:paraId="7A9CDF94" w14:textId="3AAE83F5" w:rsidR="006A1D28" w:rsidRDefault="008B4A1D" w:rsidP="006A1D28">
      <w:pPr>
        <w:pStyle w:val="ListParagraph"/>
        <w:ind w:left="1080"/>
      </w:pPr>
      <w:r>
        <w:t xml:space="preserve">Review and approve the draft annual report produced by the report writing subcommittee for submittal to the Board of Supervisors. With Board of Supervisors </w:t>
      </w:r>
      <w:r w:rsidR="00CE217A">
        <w:t>approval,</w:t>
      </w:r>
      <w:r>
        <w:t xml:space="preserve"> the report will be sent to the Board of State and Community Corrections</w:t>
      </w:r>
      <w:r w:rsidR="00CE217A">
        <w:t xml:space="preserve"> along with the Annual Survey Parts A and B.</w:t>
      </w:r>
    </w:p>
    <w:p w14:paraId="021C50F8" w14:textId="77777777" w:rsidR="00C83A2A" w:rsidRDefault="00C83A2A" w:rsidP="00C83A2A">
      <w:pPr>
        <w:pStyle w:val="ListParagraph"/>
        <w:ind w:left="1080"/>
      </w:pPr>
    </w:p>
    <w:p w14:paraId="135AF1FE" w14:textId="61C3B511" w:rsidR="00C83A2A" w:rsidRPr="001B4A19" w:rsidRDefault="00C83A2A" w:rsidP="00C83A2A">
      <w:pPr>
        <w:pStyle w:val="ListParagraph"/>
        <w:ind w:left="1080"/>
      </w:pPr>
      <w:r w:rsidRPr="001B4A19">
        <w:rPr>
          <w:b/>
          <w:bCs/>
        </w:rPr>
        <w:t>Recommended Action:</w:t>
      </w:r>
      <w:r>
        <w:rPr>
          <w:b/>
          <w:bCs/>
        </w:rPr>
        <w:t xml:space="preserve"> </w:t>
      </w:r>
      <w:r w:rsidR="00CE217A">
        <w:t xml:space="preserve">Approve annual report and annual survey parts </w:t>
      </w:r>
      <w:r w:rsidR="00CE217A" w:rsidRPr="00CE217A">
        <w:rPr>
          <w:b/>
          <w:bCs/>
        </w:rPr>
        <w:t xml:space="preserve">A </w:t>
      </w:r>
      <w:r w:rsidR="00CE217A">
        <w:t xml:space="preserve">and </w:t>
      </w:r>
      <w:r w:rsidR="00CE217A" w:rsidRPr="00CE217A">
        <w:rPr>
          <w:b/>
          <w:bCs/>
        </w:rPr>
        <w:t>B</w:t>
      </w:r>
      <w:r w:rsidR="00CE217A">
        <w:rPr>
          <w:b/>
          <w:bCs/>
        </w:rPr>
        <w:t>.</w:t>
      </w:r>
    </w:p>
    <w:p w14:paraId="23026416" w14:textId="77777777" w:rsidR="00C83A2A" w:rsidRDefault="00C83A2A" w:rsidP="00C83A2A">
      <w:pPr>
        <w:pStyle w:val="ListParagraph"/>
        <w:ind w:left="1080"/>
      </w:pPr>
    </w:p>
    <w:p w14:paraId="7D8DFB32" w14:textId="526FDAAD" w:rsidR="002F1D73" w:rsidRPr="002950E2" w:rsidRDefault="002F1D73" w:rsidP="002950E2">
      <w:pPr>
        <w:pStyle w:val="ListParagraph"/>
        <w:ind w:left="1080"/>
        <w:rPr>
          <w:b/>
          <w:bCs/>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FD40CA" w:rsidRPr="00E93B2F" w14:paraId="7E8E0F52" w14:textId="77777777" w:rsidTr="007B1767">
        <w:trPr>
          <w:trHeight w:val="276"/>
          <w:tblCellSpacing w:w="15" w:type="dxa"/>
        </w:trPr>
        <w:tc>
          <w:tcPr>
            <w:tcW w:w="400" w:type="pct"/>
            <w:hideMark/>
          </w:tcPr>
          <w:p w14:paraId="1D1744C0" w14:textId="7C623C7B"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350" w:type="pct"/>
            <w:vAlign w:val="center"/>
            <w:hideMark/>
          </w:tcPr>
          <w:p w14:paraId="20B5408F" w14:textId="77777777"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4250" w:type="pct"/>
            <w:hideMark/>
          </w:tcPr>
          <w:p w14:paraId="647A7A60" w14:textId="13698ECE"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49B59934" w14:textId="77777777"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56C3420C"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1BC99E41"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20C8D990"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544F3AC2"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bl>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7713"/>
        <w:gridCol w:w="110"/>
        <w:gridCol w:w="110"/>
        <w:gridCol w:w="110"/>
        <w:gridCol w:w="110"/>
        <w:gridCol w:w="125"/>
      </w:tblGrid>
      <w:tr w:rsidR="00FD40CA" w:rsidRPr="00E93B2F" w14:paraId="5FD24E44" w14:textId="77777777" w:rsidTr="00C07363">
        <w:trPr>
          <w:tblCellSpacing w:w="15" w:type="dxa"/>
        </w:trPr>
        <w:tc>
          <w:tcPr>
            <w:tcW w:w="371" w:type="pct"/>
            <w:vAlign w:val="center"/>
            <w:hideMark/>
          </w:tcPr>
          <w:p w14:paraId="23F1ECBB" w14:textId="77777777" w:rsidR="00FD40CA" w:rsidRPr="00E93B2F" w:rsidRDefault="00FD40CA" w:rsidP="007B1767">
            <w:pPr>
              <w:spacing w:after="0" w:line="240" w:lineRule="auto"/>
              <w:rPr>
                <w:rFonts w:ascii="Times New Roman" w:eastAsia="Times New Roman" w:hAnsi="Times New Roman" w:cs="Times New Roman"/>
                <w:sz w:val="24"/>
                <w:szCs w:val="24"/>
              </w:rPr>
            </w:pPr>
          </w:p>
        </w:tc>
        <w:tc>
          <w:tcPr>
            <w:tcW w:w="166" w:type="pct"/>
            <w:vAlign w:val="center"/>
            <w:hideMark/>
          </w:tcPr>
          <w:p w14:paraId="1313791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105" w:type="pct"/>
            <w:vAlign w:val="center"/>
            <w:hideMark/>
          </w:tcPr>
          <w:p w14:paraId="6D18E87A"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6F9B85F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3C6EE8BD"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5E36152"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7F194547"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783A15E"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r w:rsidR="00C07363" w:rsidRPr="00E93B2F" w14:paraId="534D9F10" w14:textId="77777777" w:rsidTr="00C07363">
        <w:trPr>
          <w:tblCellSpacing w:w="15" w:type="dxa"/>
        </w:trPr>
        <w:tc>
          <w:tcPr>
            <w:tcW w:w="371" w:type="pct"/>
            <w:vAlign w:val="center"/>
            <w:hideMark/>
          </w:tcPr>
          <w:p w14:paraId="22116C9C"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166" w:type="pct"/>
            <w:vAlign w:val="center"/>
            <w:hideMark/>
          </w:tcPr>
          <w:p w14:paraId="1180515A" w14:textId="44B656DD" w:rsidR="00C07363" w:rsidRPr="00E93B2F" w:rsidRDefault="00C07363"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105" w:type="pct"/>
            <w:vAlign w:val="center"/>
            <w:hideMark/>
          </w:tcPr>
          <w:p w14:paraId="0A11A723" w14:textId="77777777" w:rsidR="00C07363" w:rsidRDefault="00C07363" w:rsidP="00C07363">
            <w:pPr>
              <w:spacing w:after="0" w:line="240" w:lineRule="auto"/>
              <w:rPr>
                <w:rFonts w:ascii="Arial" w:eastAsia="Times New Roman" w:hAnsi="Arial" w:cs="Arial"/>
                <w:color w:val="000000"/>
                <w:sz w:val="24"/>
                <w:szCs w:val="24"/>
              </w:rPr>
            </w:pPr>
          </w:p>
          <w:p w14:paraId="092E63EC"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53BC0A62"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6FE72D89"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2CADC1B"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0B6AAAB0"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622E23B" w14:textId="77777777" w:rsidR="00C07363" w:rsidRPr="00E93B2F" w:rsidRDefault="00C07363"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103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110"/>
        <w:gridCol w:w="110"/>
        <w:gridCol w:w="110"/>
        <w:gridCol w:w="110"/>
        <w:gridCol w:w="125"/>
      </w:tblGrid>
      <w:tr w:rsidR="00C07363" w:rsidRPr="00E93B2F" w14:paraId="278E465A" w14:textId="77777777" w:rsidTr="00C07363">
        <w:trPr>
          <w:tblCellSpacing w:w="15" w:type="dxa"/>
        </w:trPr>
        <w:tc>
          <w:tcPr>
            <w:tcW w:w="1786" w:type="pct"/>
            <w:vAlign w:val="center"/>
            <w:hideMark/>
          </w:tcPr>
          <w:p w14:paraId="0DEDC959" w14:textId="77777777" w:rsidR="00C07363" w:rsidRPr="00E93B2F" w:rsidRDefault="00C07363" w:rsidP="007B1767">
            <w:pPr>
              <w:spacing w:after="0" w:line="240" w:lineRule="auto"/>
              <w:rPr>
                <w:rFonts w:ascii="Times New Roman" w:eastAsia="Times New Roman" w:hAnsi="Times New Roman" w:cs="Times New Roman"/>
                <w:sz w:val="24"/>
                <w:szCs w:val="24"/>
              </w:rPr>
            </w:pPr>
          </w:p>
        </w:tc>
        <w:tc>
          <w:tcPr>
            <w:tcW w:w="1567" w:type="pct"/>
            <w:vAlign w:val="center"/>
            <w:hideMark/>
          </w:tcPr>
          <w:p w14:paraId="76520C5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8035EEE"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345DBCE2"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0B23FDA6"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EC6911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22B8D348" w14:textId="77777777" w:rsidR="00C07363" w:rsidRPr="00E93B2F" w:rsidRDefault="00C07363" w:rsidP="007B1767">
            <w:pPr>
              <w:spacing w:after="0" w:line="240" w:lineRule="auto"/>
              <w:rPr>
                <w:rFonts w:ascii="Times New Roman" w:eastAsia="Times New Roman" w:hAnsi="Times New Roman" w:cs="Times New Roman"/>
                <w:sz w:val="20"/>
                <w:szCs w:val="20"/>
              </w:rPr>
            </w:pPr>
          </w:p>
        </w:tc>
      </w:tr>
    </w:tbl>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77CED"/>
    <w:rsid w:val="000B274E"/>
    <w:rsid w:val="00146B8A"/>
    <w:rsid w:val="00174624"/>
    <w:rsid w:val="001C7BDD"/>
    <w:rsid w:val="002950E2"/>
    <w:rsid w:val="002C719F"/>
    <w:rsid w:val="002F1D73"/>
    <w:rsid w:val="00391EB0"/>
    <w:rsid w:val="003A15D0"/>
    <w:rsid w:val="00576106"/>
    <w:rsid w:val="005A656C"/>
    <w:rsid w:val="005F248C"/>
    <w:rsid w:val="006A1D28"/>
    <w:rsid w:val="006C5A07"/>
    <w:rsid w:val="00720D18"/>
    <w:rsid w:val="007B3FCF"/>
    <w:rsid w:val="007C7547"/>
    <w:rsid w:val="007E220E"/>
    <w:rsid w:val="007E56AC"/>
    <w:rsid w:val="0086622A"/>
    <w:rsid w:val="0086638D"/>
    <w:rsid w:val="00874CA6"/>
    <w:rsid w:val="008B4A1D"/>
    <w:rsid w:val="008B6CFA"/>
    <w:rsid w:val="00901B5C"/>
    <w:rsid w:val="00A2016F"/>
    <w:rsid w:val="00A92003"/>
    <w:rsid w:val="00B71626"/>
    <w:rsid w:val="00BF1AE4"/>
    <w:rsid w:val="00C07363"/>
    <w:rsid w:val="00C83A2A"/>
    <w:rsid w:val="00CA05A7"/>
    <w:rsid w:val="00CB15C9"/>
    <w:rsid w:val="00CE217A"/>
    <w:rsid w:val="00D8268D"/>
    <w:rsid w:val="00DC4DD2"/>
    <w:rsid w:val="00E2338F"/>
    <w:rsid w:val="00EE15F4"/>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dcterms:created xsi:type="dcterms:W3CDTF">2021-11-20T17:38:00Z</dcterms:created>
  <dcterms:modified xsi:type="dcterms:W3CDTF">2021-11-20T18:03:00Z</dcterms:modified>
</cp:coreProperties>
</file>